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</w:t>
      </w:r>
      <w:r w:rsidR="00FB6560">
        <w:rPr>
          <w:rFonts w:ascii="Tahoma" w:hAnsi="Tahoma" w:cs="Tahoma"/>
          <w:szCs w:val="24"/>
        </w:rPr>
        <w:t>4</w:t>
      </w:r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0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0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</w:t>
      </w:r>
      <w:r w:rsidR="00732240">
        <w:rPr>
          <w:rFonts w:ascii="Tahoma" w:hAnsi="Tahoma" w:cs="Tahoma"/>
          <w:i/>
          <w:szCs w:val="24"/>
        </w:rPr>
        <w:t>МГЭС</w:t>
      </w:r>
      <w:r>
        <w:rPr>
          <w:rFonts w:ascii="Tahoma" w:hAnsi="Tahoma" w:cs="Tahoma"/>
          <w:i/>
          <w:szCs w:val="24"/>
        </w:rPr>
        <w:t>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  <w:r w:rsidR="000769C9" w:rsidRPr="000769C9">
        <w:rPr>
          <w:rFonts w:ascii="Tahoma" w:hAnsi="Tahoma" w:cs="Tahoma"/>
          <w:color w:val="FF0000"/>
          <w:szCs w:val="24"/>
        </w:rPr>
        <w:t xml:space="preserve">Покупатель обязуется вывезти предложенный металлолом по заявкам Продавца в течение 7 дней с момента направления заявки Продавца в адрес Покупателя. Демонтированное оборудование (лом) будет разобрано на отдельные узлы с габаритными размерами, позволяющими осуществить погрузку и вывоз автотранспортом </w:t>
      </w:r>
      <w:proofErr w:type="spellStart"/>
      <w:r w:rsidR="000769C9" w:rsidRPr="000769C9">
        <w:rPr>
          <w:rFonts w:ascii="Tahoma" w:hAnsi="Tahoma" w:cs="Tahoma"/>
          <w:color w:val="FF0000"/>
          <w:szCs w:val="24"/>
        </w:rPr>
        <w:t>металлоприемщика</w:t>
      </w:r>
      <w:proofErr w:type="spellEnd"/>
      <w:r w:rsidR="000769C9" w:rsidRPr="000769C9">
        <w:rPr>
          <w:rFonts w:ascii="Tahoma" w:hAnsi="Tahoma" w:cs="Tahoma"/>
          <w:color w:val="FF0000"/>
          <w:szCs w:val="24"/>
        </w:rPr>
        <w:t xml:space="preserve"> через ворота машинного зала, габариты до 6500*3000*2000 мм (Д*Ш*В) для передачи Покупателю.</w:t>
      </w:r>
      <w:bookmarkStart w:id="1" w:name="_GoBack"/>
      <w:bookmarkEnd w:id="1"/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В случае получения </w:t>
      </w:r>
      <w:proofErr w:type="gramStart"/>
      <w:r w:rsidRPr="00051855">
        <w:rPr>
          <w:rFonts w:ascii="Tahoma" w:hAnsi="Tahoma" w:cs="Tahoma"/>
          <w:szCs w:val="24"/>
        </w:rPr>
        <w:t>акцепта ,</w:t>
      </w:r>
      <w:proofErr w:type="gramEnd"/>
      <w:r w:rsidRPr="00051855">
        <w:rPr>
          <w:rFonts w:ascii="Tahoma" w:hAnsi="Tahoma" w:cs="Tahoma"/>
          <w:szCs w:val="24"/>
        </w:rPr>
        <w:t xml:space="preserve">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proofErr w:type="gramStart"/>
      <w:r w:rsidRPr="002D3EAA">
        <w:rPr>
          <w:rFonts w:ascii="Tahoma" w:hAnsi="Tahoma" w:cs="Tahoma"/>
          <w:szCs w:val="24"/>
        </w:rPr>
        <w:t>с подробной информаций</w:t>
      </w:r>
      <w:proofErr w:type="gramEnd"/>
      <w:r w:rsidRPr="002D3EAA">
        <w:rPr>
          <w:rFonts w:ascii="Tahoma" w:hAnsi="Tahoma" w:cs="Tahoma"/>
          <w:szCs w:val="24"/>
        </w:rPr>
        <w:t xml:space="preserve">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0769C9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37AA"/>
    <w:rsid w:val="00354EA2"/>
    <w:rsid w:val="003765BD"/>
    <w:rsid w:val="003B3F36"/>
    <w:rsid w:val="00483146"/>
    <w:rsid w:val="00536755"/>
    <w:rsid w:val="005411D4"/>
    <w:rsid w:val="0062772C"/>
    <w:rsid w:val="006F08F2"/>
    <w:rsid w:val="00732240"/>
    <w:rsid w:val="007404B2"/>
    <w:rsid w:val="007E463C"/>
    <w:rsid w:val="00856A74"/>
    <w:rsid w:val="0096251B"/>
    <w:rsid w:val="00AF460A"/>
    <w:rsid w:val="00B923A3"/>
    <w:rsid w:val="00BF568F"/>
    <w:rsid w:val="00C368FB"/>
    <w:rsid w:val="00CE66A7"/>
    <w:rsid w:val="00DC096F"/>
    <w:rsid w:val="00DF1CAD"/>
    <w:rsid w:val="00E47928"/>
    <w:rsid w:val="00E55360"/>
    <w:rsid w:val="00F72B58"/>
    <w:rsid w:val="00FB6560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8477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10</cp:revision>
  <cp:lastPrinted>2013-06-07T05:59:00Z</cp:lastPrinted>
  <dcterms:created xsi:type="dcterms:W3CDTF">2019-02-04T06:09:00Z</dcterms:created>
  <dcterms:modified xsi:type="dcterms:W3CDTF">2024-09-04T01:00:00Z</dcterms:modified>
</cp:coreProperties>
</file>